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left="0" w:firstLine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</w:rPr>
        <w:drawing>
          <wp:inline distB="114300" distT="114300" distL="114300" distR="114300">
            <wp:extent cx="3833813" cy="151755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33813" cy="15175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34"/>
          <w:szCs w:val="34"/>
          <w:rtl w:val="0"/>
        </w:rPr>
        <w:br w:type="textWrapping"/>
        <w:t xml:space="preserve">Pumping Breastmilk on Shabbat</w:t>
      </w:r>
    </w:p>
    <w:p w:rsidR="00000000" w:rsidDel="00000000" w:rsidP="00000000" w:rsidRDefault="00000000" w:rsidRPr="00000000" w14:paraId="00000002">
      <w:pPr>
        <w:spacing w:after="0" w:line="276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Yoetzet Halacha Deena Zimmerman, MD MPH IBCLC</w:t>
      </w:r>
    </w:p>
    <w:p w:rsidR="00000000" w:rsidDel="00000000" w:rsidP="00000000" w:rsidRDefault="00000000" w:rsidRPr="00000000" w14:paraId="00000003">
      <w:pPr>
        <w:spacing w:after="0" w:line="276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Yoetzet Halacha Rachel Weber Leshaw</w:t>
      </w:r>
    </w:p>
    <w:p w:rsidR="00000000" w:rsidDel="00000000" w:rsidP="00000000" w:rsidRDefault="00000000" w:rsidRPr="00000000" w14:paraId="00000004">
      <w:pPr>
        <w:spacing w:after="200" w:line="276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200" w:line="276" w:lineRule="auto"/>
        <w:ind w:left="0" w:firstLine="0"/>
        <w:jc w:val="left"/>
        <w:rPr>
          <w:b w:val="1"/>
        </w:rPr>
      </w:pPr>
      <w:r w:rsidDel="00000000" w:rsidR="00000000" w:rsidRPr="00000000">
        <w:rPr>
          <w:b w:val="1"/>
          <w:rtl w:val="1"/>
        </w:rPr>
        <w:t xml:space="preserve">שמות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006">
      <w:pPr>
        <w:bidi w:val="1"/>
        <w:spacing w:after="200"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ינו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ֵּ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ֹּ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ֶׂ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ֶּ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ֶׂ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ְׂ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: 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ֵּ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ֵּ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ֶׂ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ֹ:  (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ֵּ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יה</w:t>
      </w:r>
      <w:r w:rsidDel="00000000" w:rsidR="00000000" w:rsidRPr="00000000">
        <w:rPr>
          <w:rtl w:val="1"/>
        </w:rPr>
        <w:t xml:space="preserve">ָ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ֵּ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ֵּ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ְ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ָ:  (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ֶּ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ֵּ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ֹּ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ֹּ</w:t>
      </w:r>
      <w:r w:rsidDel="00000000" w:rsidR="00000000" w:rsidRPr="00000000">
        <w:rPr>
          <w:rtl w:val="1"/>
        </w:rPr>
        <w:t xml:space="preserve">אמ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:  (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ֹּ</w:t>
      </w:r>
      <w:r w:rsidDel="00000000" w:rsidR="00000000" w:rsidRPr="00000000">
        <w:rPr>
          <w:rtl w:val="1"/>
        </w:rPr>
        <w:t xml:space="preserve">אמ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ְ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ְ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ָּׁ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ינ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ֹּ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ְ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:  (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ֹּ</w:t>
      </w:r>
      <w:r w:rsidDel="00000000" w:rsidR="00000000" w:rsidRPr="00000000">
        <w:rPr>
          <w:rtl w:val="1"/>
        </w:rPr>
        <w:t xml:space="preserve">אמ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ֵּ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ְ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:  (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ֹּ</w:t>
      </w:r>
      <w:r w:rsidDel="00000000" w:rsidR="00000000" w:rsidRPr="00000000">
        <w:rPr>
          <w:rtl w:val="1"/>
        </w:rPr>
        <w:t xml:space="preserve">אמ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יכ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ֶּ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ֶּ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ֵּ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ְׂ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ְ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ָּׁ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ֶּ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יק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ּ:</w:t>
      </w:r>
    </w:p>
    <w:p w:rsidR="00000000" w:rsidDel="00000000" w:rsidP="00000000" w:rsidRDefault="00000000" w:rsidRPr="00000000" w14:paraId="00000007">
      <w:pPr>
        <w:bidi w:val="1"/>
        <w:spacing w:after="200" w:line="276" w:lineRule="auto"/>
        <w:ind w:lef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sz w:val="26"/>
          <w:szCs w:val="26"/>
          <w:rtl w:val="0"/>
        </w:rPr>
        <w:t xml:space="preserve">Melachot Shabbat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spacing w:after="200" w:line="276" w:lineRule="auto"/>
        <w:rPr>
          <w:b w:val="1"/>
          <w:u w:val="none"/>
        </w:rPr>
      </w:pP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009">
      <w:pPr>
        <w:bidi w:val="1"/>
        <w:spacing w:after="200" w:line="276" w:lineRule="auto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[*]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והמעמר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threshing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והמרקד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הגוזז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והמנפצו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והצובעו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והמיסך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והפוצע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חוטין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השוחטו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והמפשיטו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המולחו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והמוחקו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והמחתכו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בפטיש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spacing w:after="200" w:line="276" w:lineRule="auto"/>
        <w:rPr>
          <w:b w:val="1"/>
          <w:u w:val="none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00B">
      <w:pPr>
        <w:bidi w:val="1"/>
        <w:spacing w:after="200" w:line="276" w:lineRule="auto"/>
        <w:ind w:left="0" w:firstLine="0"/>
        <w:rPr/>
      </w:pP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spacing w:after="200" w:line="276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ind w:lef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Potential Issues Involved With Pumping on Shabbos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spacing w:after="200" w:line="276" w:lineRule="auto"/>
        <w:rPr>
          <w:b w:val="1"/>
          <w:u w:val="none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00F">
      <w:pPr>
        <w:bidi w:val="1"/>
        <w:spacing w:after="200" w:line="276" w:lineRule="auto"/>
        <w:ind w:left="0" w:firstLine="0"/>
        <w:rPr/>
      </w:pP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החולב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והמחבץ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והמגבן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כגרוגרת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המכבד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והמרבץ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הזיד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איקלע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לנהרדעא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חולב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מחבץ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מחבץ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מגבן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מגבן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רבך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באגמא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מדרשא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bidi w:val="1"/>
        <w:spacing w:after="200" w:line="276" w:lineRule="auto"/>
        <w:rPr>
          <w:b w:val="1"/>
          <w:u w:val="none"/>
        </w:rPr>
      </w:pPr>
      <w:r w:rsidDel="00000000" w:rsidR="00000000" w:rsidRPr="00000000">
        <w:rPr>
          <w:b w:val="1"/>
          <w:rtl w:val="1"/>
        </w:rPr>
        <w:t xml:space="preserve">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011">
      <w:pPr>
        <w:bidi w:val="1"/>
        <w:spacing w:after="200" w:line="276" w:lineRule="auto"/>
        <w:ind w:left="0" w:firstLine="0"/>
        <w:rPr>
          <w:b w:val="1"/>
        </w:rPr>
      </w:pP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שפורק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שנתכסה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דקוצר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ועקיר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בעטיני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תולש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bidi w:val="1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013">
      <w:pPr>
        <w:bidi w:val="1"/>
        <w:spacing w:after="200"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לאתויי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לאתויי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כאבן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לטלטלו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ומניקתו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הסכנה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bidi w:val="1"/>
        <w:spacing w:after="200" w:line="276" w:lineRule="auto"/>
        <w:rPr>
          <w:b w:val="1"/>
          <w:u w:val="none"/>
        </w:rPr>
      </w:pPr>
      <w:r w:rsidDel="00000000" w:rsidR="00000000" w:rsidRPr="00000000">
        <w:rPr>
          <w:b w:val="1"/>
          <w:rtl w:val="1"/>
        </w:rPr>
        <w:t xml:space="preserve">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200" w:line="276" w:lineRule="auto"/>
        <w:ind w:left="0" w:firstLine="0"/>
        <w:rPr/>
      </w:pP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בדדיה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bidi w:val="1"/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שו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אורח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b w:val="1"/>
          <w:rtl w:val="1"/>
        </w:rPr>
        <w:t xml:space="preserve">ח</w:t>
      </w:r>
      <w:r w:rsidDel="00000000" w:rsidR="00000000" w:rsidRPr="00000000">
        <w:rPr>
          <w:b w:val="1"/>
          <w:rtl w:val="1"/>
        </w:rPr>
        <w:t xml:space="preserve">  </w:t>
      </w:r>
    </w:p>
    <w:p w:rsidR="00000000" w:rsidDel="00000000" w:rsidP="00000000" w:rsidRDefault="00000000" w:rsidRPr="00000000" w14:paraId="00000017">
      <w:pPr>
        <w:bidi w:val="1"/>
        <w:spacing w:after="200" w:line="276" w:lineRule="auto"/>
        <w:ind w:left="0" w:firstLine="0"/>
        <w:rPr/>
      </w:pPr>
      <w:r w:rsidDel="00000000" w:rsidR="00000000" w:rsidRPr="00000000">
        <w:rPr>
          <w:rtl w:val="1"/>
        </w:rPr>
        <w:t xml:space="preserve">נולד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וצפרניו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לטלטלו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ומניקתו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שמצערה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bidi w:val="1"/>
        <w:spacing w:after="200" w:line="276" w:lineRule="auto"/>
        <w:rPr>
          <w:u w:val="none"/>
        </w:rPr>
      </w:pP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bidi w:val="1"/>
        <w:spacing w:after="200" w:line="276" w:lineRule="auto"/>
        <w:ind w:left="0" w:firstLine="0"/>
        <w:rPr/>
      </w:pP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מורסא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A">
      <w:pPr>
        <w:bidi w:val="1"/>
        <w:spacing w:after="200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76" w:lineRule="auto"/>
        <w:ind w:lef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Pikuach Nefesh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bidi w:val="1"/>
        <w:spacing w:after="200" w:line="276" w:lineRule="auto"/>
        <w:rPr>
          <w:b w:val="1"/>
          <w:u w:val="none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01D">
      <w:pPr>
        <w:bidi w:val="1"/>
        <w:spacing w:after="200" w:line="276" w:lineRule="auto"/>
        <w:ind w:left="0" w:firstLine="0"/>
        <w:rPr/>
      </w:pP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מפקחין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והזריז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משובח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bidi w:val="1"/>
        <w:spacing w:after="200" w:line="276" w:lineRule="auto"/>
        <w:rPr>
          <w:b w:val="1"/>
          <w:u w:val="none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01F">
      <w:pPr>
        <w:bidi w:val="1"/>
        <w:spacing w:after="200" w:line="276" w:lineRule="auto"/>
        <w:ind w:left="0" w:firstLine="0"/>
        <w:rPr/>
      </w:pPr>
      <w:r w:rsidDel="00000000" w:rsidR="00000000" w:rsidRPr="00000000">
        <w:rPr>
          <w:rtl w:val="1"/>
        </w:rPr>
        <w:t xml:space="preserve">תניא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גמליאל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תינוק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מחללין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תינוק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0">
      <w:pPr>
        <w:widowControl w:val="0"/>
        <w:spacing w:line="216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Enabling breastfeeding for mothers and babies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28 February 2017  Cochrane Reviews</w:t>
      </w:r>
    </w:p>
    <w:p w:rsidR="00000000" w:rsidDel="00000000" w:rsidP="00000000" w:rsidRDefault="00000000" w:rsidRPr="00000000" w14:paraId="00000021">
      <w:pPr>
        <w:widowControl w:val="0"/>
        <w:spacing w:before="200" w:line="21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of breastmilk substitutes – either exclusively or partially – has substantive short, medium and long-term impact on survival, health and wellbeing for babies and women. </w:t>
      </w:r>
    </w:p>
    <w:p w:rsidR="00000000" w:rsidDel="00000000" w:rsidP="00000000" w:rsidRDefault="00000000" w:rsidRPr="00000000" w14:paraId="00000022">
      <w:pPr>
        <w:widowControl w:val="0"/>
        <w:spacing w:line="21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line="276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